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ascii="宋体" w:hAnsi="宋体" w:eastAsia="宋体" w:cs="宋体"/>
          <w:b/>
          <w:bCs/>
          <w:sz w:val="36"/>
          <w:szCs w:val="36"/>
          <w:lang w:val="zh-TW" w:eastAsia="zh-TW"/>
        </w:rPr>
      </w:pPr>
      <w:bookmarkStart w:id="0" w:name="_Hlk46163205"/>
      <w:r>
        <w:rPr>
          <w:rFonts w:hint="eastAsia" w:ascii="黑体" w:hAnsi="黑体" w:eastAsia="黑体"/>
          <w:sz w:val="36"/>
          <w:szCs w:val="36"/>
        </w:rPr>
        <w:t>高校虚拟仿真实验教学一流课程建设与应用在线论坛</w:t>
      </w:r>
      <w:r>
        <w:rPr>
          <w:rFonts w:hint="eastAsia" w:ascii="宋体" w:hAnsi="宋体" w:eastAsia="宋体" w:cs="宋体"/>
          <w:b/>
          <w:bCs/>
          <w:sz w:val="36"/>
          <w:szCs w:val="36"/>
        </w:rPr>
        <w:t>成功</w:t>
      </w:r>
      <w:r>
        <w:rPr>
          <w:rFonts w:ascii="宋体" w:hAnsi="宋体" w:eastAsia="宋体" w:cs="宋体"/>
          <w:b/>
          <w:bCs/>
          <w:sz w:val="36"/>
          <w:szCs w:val="36"/>
          <w:lang w:val="zh-TW" w:eastAsia="zh-TW"/>
        </w:rPr>
        <w:t>举行</w:t>
      </w:r>
    </w:p>
    <w:p>
      <w:pPr>
        <w:pStyle w:val="10"/>
        <w:jc w:val="center"/>
        <w:rPr>
          <w:rFonts w:ascii="宋体" w:hAnsi="宋体" w:eastAsia="宋体" w:cs="宋体"/>
          <w:b/>
          <w:bCs/>
          <w:sz w:val="36"/>
          <w:szCs w:val="36"/>
        </w:rPr>
      </w:pPr>
    </w:p>
    <w:p>
      <w:pPr>
        <w:pStyle w:val="10"/>
        <w:ind w:firstLine="480"/>
        <w:rPr>
          <w:rFonts w:ascii="宋体" w:hAnsi="宋体" w:eastAsia="宋体" w:cs="宋体"/>
          <w:sz w:val="24"/>
          <w:szCs w:val="24"/>
          <w:lang w:val="zh-TW" w:eastAsia="zh-TW"/>
        </w:rPr>
      </w:pPr>
      <w:r>
        <w:rPr>
          <w:rFonts w:ascii="宋体" w:hAnsi="宋体" w:eastAsia="宋体" w:cs="宋体"/>
          <w:sz w:val="24"/>
          <w:szCs w:val="24"/>
        </w:rPr>
        <w:t>2021年1</w:t>
      </w:r>
      <w:r>
        <w:rPr>
          <w:rFonts w:hint="eastAsia" w:ascii="宋体" w:hAnsi="宋体" w:eastAsia="宋体" w:cs="宋体"/>
          <w:sz w:val="24"/>
          <w:szCs w:val="24"/>
        </w:rPr>
        <w:t>2</w:t>
      </w:r>
      <w:r>
        <w:rPr>
          <w:rFonts w:ascii="宋体" w:hAnsi="宋体" w:eastAsia="宋体" w:cs="宋体"/>
          <w:sz w:val="24"/>
          <w:szCs w:val="24"/>
        </w:rPr>
        <w:t>月</w:t>
      </w:r>
      <w:r>
        <w:rPr>
          <w:rFonts w:hint="eastAsia" w:ascii="宋体" w:hAnsi="宋体" w:eastAsia="宋体" w:cs="宋体"/>
          <w:sz w:val="24"/>
          <w:szCs w:val="24"/>
        </w:rPr>
        <w:t>3</w:t>
      </w:r>
      <w:r>
        <w:rPr>
          <w:rFonts w:ascii="宋体" w:hAnsi="宋体" w:eastAsia="宋体" w:cs="宋体"/>
          <w:sz w:val="24"/>
          <w:szCs w:val="24"/>
        </w:rPr>
        <w:t>日，第七届中国虚拟现实产学研大会</w:t>
      </w:r>
      <w:r>
        <w:rPr>
          <w:rFonts w:hint="eastAsia" w:ascii="宋体" w:hAnsi="宋体" w:eastAsia="宋体" w:cs="宋体"/>
          <w:sz w:val="24"/>
          <w:szCs w:val="24"/>
        </w:rPr>
        <w:t>高校虚拟仿真实验教学一流课程建设与应用主题论坛在线上成功举行</w:t>
      </w:r>
      <w:r>
        <w:rPr>
          <w:rFonts w:ascii="宋体" w:hAnsi="宋体" w:eastAsia="宋体" w:cs="宋体"/>
          <w:sz w:val="24"/>
          <w:szCs w:val="24"/>
        </w:rPr>
        <w:t>。</w:t>
      </w:r>
      <w:r>
        <w:rPr>
          <w:rFonts w:hint="eastAsia" w:ascii="宋体" w:hAnsi="宋体" w:eastAsia="宋体" w:cs="宋体"/>
          <w:sz w:val="24"/>
          <w:szCs w:val="24"/>
        </w:rPr>
        <w:t>本次论坛由虚拟仿真实验教学创新联盟技术工作委员会主办，北京师范大学智慧学习研究院、教育部虚拟现实应用工程研究中心承办，北京润尼尔网络科技有限公司协办。</w:t>
      </w:r>
      <w:r>
        <w:rPr>
          <w:rFonts w:ascii="宋体" w:hAnsi="宋体" w:eastAsia="宋体" w:cs="宋体"/>
          <w:sz w:val="24"/>
          <w:szCs w:val="24"/>
          <w:lang w:val="zh-TW" w:eastAsia="zh-TW"/>
        </w:rPr>
        <w:t>来自全国</w:t>
      </w:r>
      <w:r>
        <w:rPr>
          <w:rFonts w:hint="eastAsia" w:ascii="宋体" w:hAnsi="宋体" w:eastAsia="宋体" w:cs="宋体"/>
          <w:sz w:val="24"/>
          <w:szCs w:val="24"/>
        </w:rPr>
        <w:t>450</w:t>
      </w:r>
      <w:r>
        <w:rPr>
          <w:rFonts w:ascii="宋体" w:hAnsi="宋体" w:eastAsia="宋体" w:cs="宋体"/>
          <w:sz w:val="24"/>
          <w:szCs w:val="24"/>
          <w:lang w:val="zh-TW" w:eastAsia="zh-TW"/>
        </w:rPr>
        <w:t>余所高校的近</w:t>
      </w:r>
      <w:r>
        <w:rPr>
          <w:rFonts w:hint="eastAsia" w:ascii="宋体" w:hAnsi="宋体" w:eastAsia="宋体" w:cs="宋体"/>
          <w:sz w:val="24"/>
          <w:szCs w:val="24"/>
        </w:rPr>
        <w:t>2000</w:t>
      </w:r>
      <w:r>
        <w:rPr>
          <w:rFonts w:ascii="宋体" w:hAnsi="宋体" w:eastAsia="宋体" w:cs="宋体"/>
          <w:sz w:val="24"/>
          <w:szCs w:val="24"/>
          <w:lang w:val="zh-TW" w:eastAsia="zh-TW"/>
        </w:rPr>
        <w:t>名</w:t>
      </w:r>
      <w:r>
        <w:rPr>
          <w:rFonts w:hint="eastAsia" w:ascii="宋体" w:hAnsi="宋体" w:eastAsia="宋体" w:cs="宋体"/>
          <w:sz w:val="24"/>
          <w:szCs w:val="24"/>
        </w:rPr>
        <w:t>教师</w:t>
      </w:r>
      <w:r>
        <w:rPr>
          <w:rFonts w:ascii="宋体" w:hAnsi="宋体" w:eastAsia="宋体" w:cs="宋体"/>
          <w:sz w:val="24"/>
          <w:szCs w:val="24"/>
          <w:lang w:val="zh-TW" w:eastAsia="zh-TW"/>
        </w:rPr>
        <w:t>在线参会。</w:t>
      </w:r>
    </w:p>
    <w:p>
      <w:pPr>
        <w:ind w:firstLine="480" w:firstLineChars="200"/>
        <w:rPr>
          <w:rFonts w:ascii="宋体" w:hAnsi="宋体" w:eastAsia="宋体" w:cs="宋体"/>
          <w:color w:val="000000"/>
          <w:kern w:val="2"/>
          <w:u w:color="000000"/>
          <w:lang w:val="zh-TW" w:eastAsia="zh-TW"/>
        </w:rPr>
      </w:pPr>
      <w:r>
        <w:rPr>
          <w:rFonts w:hint="eastAsia" w:ascii="宋体" w:hAnsi="宋体" w:eastAsia="宋体" w:cs="宋体"/>
          <w:color w:val="000000"/>
          <w:kern w:val="2"/>
          <w:u w:color="000000"/>
          <w:lang w:val="zh-TW" w:eastAsia="zh-TW"/>
        </w:rPr>
        <w:t>中国虚拟现实技术与产业创新平台理事长</w:t>
      </w:r>
      <w:r>
        <w:rPr>
          <w:rFonts w:hint="eastAsia" w:ascii="宋体" w:hAnsi="宋体" w:eastAsia="宋体" w:cs="宋体"/>
          <w:color w:val="000000"/>
          <w:kern w:val="2"/>
          <w:u w:color="000000"/>
          <w:lang w:eastAsia="zh-CN"/>
        </w:rPr>
        <w:t>周明全教授</w:t>
      </w:r>
      <w:r>
        <w:rPr>
          <w:rFonts w:ascii="宋体" w:hAnsi="宋体" w:eastAsia="宋体" w:cs="宋体"/>
          <w:color w:val="000000"/>
          <w:kern w:val="2"/>
          <w:u w:color="000000"/>
          <w:lang w:val="zh-TW" w:eastAsia="zh-TW"/>
        </w:rPr>
        <w:t>在会上致辞。</w:t>
      </w:r>
      <w:r>
        <w:rPr>
          <w:rFonts w:hint="eastAsia" w:ascii="宋体" w:hAnsi="宋体" w:eastAsia="宋体" w:cs="宋体"/>
          <w:color w:val="000000"/>
          <w:kern w:val="2"/>
          <w:u w:color="000000"/>
          <w:lang w:val="zh-TW" w:eastAsia="zh-TW"/>
        </w:rPr>
        <w:t>虚拟仿真实验教学创新联盟</w:t>
      </w:r>
      <w:r>
        <w:rPr>
          <w:rFonts w:hint="eastAsia" w:ascii="宋体" w:hAnsi="宋体" w:eastAsia="宋体" w:cs="宋体"/>
          <w:color w:val="000000"/>
          <w:kern w:val="2"/>
          <w:u w:color="000000"/>
          <w:lang w:val="zh-TW" w:eastAsia="zh-CN"/>
        </w:rPr>
        <w:t>执行秘书长王宏宇，虚拟仿真实验教学创新联盟技术工作委员会主任、北京师范大学智慧学习研究院院长黄荣怀教授，北京大学实验室与设备管理部副部长周勇义博士，福建工程学院土木工程学院院长吴琛教授，华东理工大学教务处副处长刘金库教授，</w:t>
      </w:r>
      <w:r>
        <w:rPr>
          <w:rFonts w:hint="eastAsia" w:ascii="宋体" w:hAnsi="宋体" w:eastAsia="宋体" w:cs="宋体"/>
          <w:color w:val="000000"/>
          <w:kern w:val="2"/>
          <w:u w:color="000000"/>
          <w:lang w:eastAsia="zh-CN"/>
        </w:rPr>
        <w:t>上海体育学院体育教育国家级实验教学示范中心主管李雪副教授，</w:t>
      </w:r>
      <w:r>
        <w:rPr>
          <w:rFonts w:hint="eastAsia" w:ascii="宋体" w:hAnsi="宋体" w:eastAsia="宋体" w:cs="宋体"/>
          <w:color w:val="000000"/>
          <w:kern w:val="2"/>
          <w:u w:color="000000"/>
          <w:lang w:val="zh-TW" w:eastAsia="zh-CN"/>
        </w:rPr>
        <w:t>辽宁大学新闻与传播学院副院长安珊珊教授</w:t>
      </w:r>
      <w:r>
        <w:rPr>
          <w:rFonts w:ascii="宋体" w:hAnsi="宋体" w:eastAsia="宋体" w:cs="宋体"/>
          <w:color w:val="000000"/>
          <w:kern w:val="2"/>
          <w:u w:color="000000"/>
          <w:lang w:val="zh-TW" w:eastAsia="zh-TW"/>
        </w:rPr>
        <w:t>及北京润尼尔网络科技有限公司陈美松总裁等领导和专家在本次会议上作专题报告。</w:t>
      </w:r>
    </w:p>
    <w:p>
      <w:pPr>
        <w:pStyle w:val="10"/>
        <w:ind w:hanging="142"/>
        <w:jc w:val="center"/>
        <w:rPr>
          <w:rFonts w:ascii="宋体" w:hAnsi="宋体" w:eastAsia="宋体" w:cs="宋体"/>
          <w:sz w:val="24"/>
          <w:szCs w:val="24"/>
          <w:lang w:val="zh-TW" w:eastAsia="zh-TW"/>
        </w:rPr>
      </w:pPr>
      <w:r>
        <w:drawing>
          <wp:inline distT="0" distB="0" distL="114300" distR="114300">
            <wp:extent cx="2235835" cy="1181735"/>
            <wp:effectExtent l="190500" t="190500" r="183515" b="1898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2259993" cy="1194440"/>
                    </a:xfrm>
                    <a:prstGeom prst="rect">
                      <a:avLst/>
                    </a:prstGeom>
                    <a:ln>
                      <a:noFill/>
                    </a:ln>
                    <a:effectLst>
                      <a:outerShdw blurRad="190500" algn="tl" rotWithShape="0">
                        <a:srgbClr val="000000">
                          <a:alpha val="70000"/>
                        </a:srgbClr>
                      </a:outerShdw>
                    </a:effectLst>
                  </pic:spPr>
                </pic:pic>
              </a:graphicData>
            </a:graphic>
          </wp:inline>
        </w:drawing>
      </w:r>
      <w:r>
        <w:drawing>
          <wp:inline distT="0" distB="0" distL="114300" distR="114300">
            <wp:extent cx="2290445" cy="1188085"/>
            <wp:effectExtent l="190500" t="190500" r="186055" b="1835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
                    <a:stretch>
                      <a:fillRect/>
                    </a:stretch>
                  </pic:blipFill>
                  <pic:spPr>
                    <a:xfrm>
                      <a:off x="0" y="0"/>
                      <a:ext cx="2304017" cy="1195153"/>
                    </a:xfrm>
                    <a:prstGeom prst="rect">
                      <a:avLst/>
                    </a:prstGeom>
                    <a:ln>
                      <a:noFill/>
                    </a:ln>
                    <a:effectLst>
                      <a:outerShdw blurRad="190500" algn="tl" rotWithShape="0">
                        <a:srgbClr val="000000">
                          <a:alpha val="70000"/>
                        </a:srgbClr>
                      </a:outerShdw>
                    </a:effectLst>
                  </pic:spPr>
                </pic:pic>
              </a:graphicData>
            </a:graphic>
          </wp:inline>
        </w:drawing>
      </w:r>
    </w:p>
    <w:p>
      <w:pPr>
        <w:pStyle w:val="10"/>
        <w:jc w:val="center"/>
      </w:pPr>
    </w:p>
    <w:p>
      <w:pPr>
        <w:pStyle w:val="10"/>
        <w:ind w:firstLine="480"/>
        <w:jc w:val="center"/>
        <w:rPr>
          <w:lang w:val="zh-TW" w:eastAsia="zh-TW"/>
        </w:rPr>
      </w:pPr>
    </w:p>
    <w:p>
      <w:pPr>
        <w:pStyle w:val="10"/>
        <w:ind w:firstLine="480"/>
        <w:rPr>
          <w:rFonts w:ascii="宋体" w:hAnsi="宋体" w:eastAsia="宋体" w:cs="宋体"/>
          <w:sz w:val="24"/>
          <w:szCs w:val="24"/>
        </w:rPr>
      </w:pPr>
      <w:r>
        <w:rPr>
          <w:rFonts w:hint="eastAsia" w:ascii="宋体" w:hAnsi="宋体" w:eastAsia="宋体" w:cs="宋体"/>
          <w:sz w:val="24"/>
          <w:szCs w:val="24"/>
        </w:rPr>
        <w:t>周明全教授在致辞中提出，元宇宙是人类社会高度数字化、智能化之后出现的社会新形态。希望通过政用产学研结合，从教学环境、条件、工具、内容和管理等多个维度，探索虚拟空间与物理空间相融合的数字孪生教室和数字孪生实验室，把技术优势与人才培养的目标融合起来，有效支撑培养学生学习能力、创新设计能力和综合应用能力，促进学生全面发展。</w:t>
      </w:r>
    </w:p>
    <w:p>
      <w:pPr>
        <w:pStyle w:val="10"/>
      </w:pPr>
    </w:p>
    <w:p>
      <w:pPr>
        <w:pStyle w:val="10"/>
        <w:ind w:firstLine="480"/>
        <w:rPr>
          <w:rFonts w:ascii="宋体" w:hAnsi="宋体" w:eastAsia="宋体" w:cs="宋体"/>
          <w:sz w:val="24"/>
          <w:szCs w:val="24"/>
        </w:rPr>
      </w:pPr>
      <w:r>
        <w:rPr>
          <w:rFonts w:ascii="宋体" w:hAnsi="宋体" w:eastAsia="宋体" w:cs="宋体"/>
          <w:sz w:val="24"/>
          <w:szCs w:val="24"/>
          <w:lang w:val="zh-TW" w:eastAsia="zh-TW"/>
        </w:rPr>
        <w:t>会议由</w:t>
      </w:r>
      <w:r>
        <w:rPr>
          <w:rFonts w:hint="eastAsia" w:ascii="宋体" w:hAnsi="宋体" w:eastAsia="宋体" w:cs="宋体"/>
          <w:sz w:val="24"/>
          <w:szCs w:val="24"/>
          <w:lang w:val="zh-TW" w:eastAsia="zh-TW"/>
        </w:rPr>
        <w:t>中国虚拟现实技术与产业创新平台副理事长、</w:t>
      </w:r>
      <w:r>
        <w:rPr>
          <w:rFonts w:ascii="宋体" w:hAnsi="宋体" w:eastAsia="宋体" w:cs="宋体"/>
          <w:sz w:val="24"/>
          <w:szCs w:val="24"/>
          <w:lang w:val="zh-TW" w:eastAsia="zh-TW"/>
        </w:rPr>
        <w:t>北京邮电大学国家级电子信息虚拟仿真实验教学中心副主任文福安教授主持</w:t>
      </w:r>
      <w:r>
        <w:rPr>
          <w:rFonts w:hint="eastAsia" w:ascii="宋体" w:hAnsi="宋体" w:eastAsia="宋体" w:cs="宋体"/>
          <w:sz w:val="24"/>
          <w:szCs w:val="24"/>
          <w:lang w:val="zh-TW"/>
        </w:rPr>
        <w:t>。</w:t>
      </w:r>
    </w:p>
    <w:p>
      <w:pPr>
        <w:pStyle w:val="10"/>
        <w:ind w:firstLine="480"/>
        <w:jc w:val="center"/>
        <w:rPr>
          <w:rFonts w:ascii="宋体" w:hAnsi="宋体" w:eastAsia="宋体" w:cs="宋体"/>
          <w:sz w:val="24"/>
          <w:szCs w:val="24"/>
          <w:highlight w:val="red"/>
        </w:rPr>
      </w:pPr>
    </w:p>
    <w:p>
      <w:pPr>
        <w:pStyle w:val="10"/>
        <w:ind w:firstLine="480"/>
        <w:jc w:val="cente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4589145" cy="2612390"/>
            <wp:effectExtent l="171450" t="171450" r="173355" b="168910"/>
            <wp:docPr id="16" name="图片 16" descr="lADPJx8ZuXcEK9HNAkfNBAA_1024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DPJx8ZuXcEK9HNAkfNBAA_1024_583"/>
                    <pic:cNvPicPr>
                      <a:picLocks noChangeAspect="1"/>
                    </pic:cNvPicPr>
                  </pic:nvPicPr>
                  <pic:blipFill>
                    <a:blip r:embed="rId6"/>
                    <a:stretch>
                      <a:fillRect/>
                    </a:stretch>
                  </pic:blipFill>
                  <pic:spPr>
                    <a:xfrm>
                      <a:off x="0" y="0"/>
                      <a:ext cx="4604205" cy="26211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pStyle w:val="10"/>
        <w:ind w:firstLine="480"/>
        <w:rPr>
          <w:rFonts w:ascii="宋体" w:hAnsi="宋体" w:eastAsia="宋体" w:cs="宋体"/>
          <w:color w:val="auto"/>
          <w:sz w:val="24"/>
          <w:szCs w:val="24"/>
        </w:rPr>
      </w:pPr>
      <w:r>
        <w:rPr>
          <w:rFonts w:ascii="宋体" w:hAnsi="宋体" w:eastAsia="宋体" w:cs="宋体"/>
          <w:color w:val="auto"/>
          <w:sz w:val="24"/>
          <w:szCs w:val="24"/>
        </w:rPr>
        <w:t>虚拟仿真实验教学创新联盟执行秘书长王宏宇</w:t>
      </w:r>
      <w:r>
        <w:rPr>
          <w:rFonts w:hint="eastAsia" w:ascii="宋体" w:hAnsi="宋体" w:eastAsia="宋体" w:cs="宋体"/>
          <w:color w:val="auto"/>
          <w:sz w:val="24"/>
          <w:szCs w:val="24"/>
        </w:rPr>
        <w:t>作了“实验教学变革与联盟服务体系建设”报告，报告从信息技术背景下的实验教学变革和虚拟仿真实验教学创新联盟支持服务体系建设两方面阐述了虚拟仿真实验教学创新联盟未来的工作规划。</w:t>
      </w:r>
    </w:p>
    <w:p>
      <w:pPr>
        <w:pStyle w:val="10"/>
        <w:ind w:firstLine="480"/>
        <w:rPr>
          <w:rFonts w:ascii="宋体" w:hAnsi="宋体" w:eastAsia="宋体" w:cs="宋体"/>
          <w:color w:val="auto"/>
          <w:sz w:val="24"/>
          <w:szCs w:val="24"/>
        </w:rPr>
      </w:pPr>
    </w:p>
    <w:p>
      <w:pPr>
        <w:pStyle w:val="10"/>
        <w:ind w:firstLine="480"/>
        <w:rPr>
          <w:rFonts w:ascii="宋体" w:hAnsi="宋体" w:eastAsia="宋体" w:cs="宋体"/>
          <w:sz w:val="24"/>
          <w:szCs w:val="24"/>
        </w:rPr>
      </w:pPr>
      <w:r>
        <w:drawing>
          <wp:inline distT="0" distB="0" distL="114300" distR="114300">
            <wp:extent cx="4474210" cy="2418080"/>
            <wp:effectExtent l="171450" t="171450" r="193040" b="1917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477424" cy="24195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pStyle w:val="10"/>
        <w:ind w:firstLine="480"/>
        <w:rPr>
          <w:sz w:val="24"/>
          <w:szCs w:val="24"/>
        </w:rPr>
      </w:pPr>
    </w:p>
    <w:p>
      <w:pPr>
        <w:pStyle w:val="11"/>
        <w:ind w:firstLine="480"/>
        <w:rPr>
          <w:rFonts w:ascii="宋体" w:hAnsi="宋体" w:eastAsia="宋体" w:cs="宋体"/>
        </w:rPr>
      </w:pPr>
      <w:r>
        <w:rPr>
          <w:rFonts w:ascii="宋体" w:hAnsi="宋体" w:eastAsia="宋体" w:cs="宋体"/>
          <w:lang w:val="zh-TW" w:eastAsia="zh-TW"/>
        </w:rPr>
        <w:t>北京师范大学智慧学习研究院院长黄荣怀教授作了</w:t>
      </w:r>
      <w:r>
        <w:rPr>
          <w:rFonts w:ascii="宋体" w:hAnsi="宋体" w:eastAsia="宋体" w:cs="宋体"/>
        </w:rPr>
        <w:t>“</w:t>
      </w:r>
      <w:r>
        <w:rPr>
          <w:rFonts w:ascii="宋体" w:hAnsi="宋体" w:eastAsia="宋体" w:cs="宋体"/>
          <w:lang w:val="zh-TW" w:eastAsia="zh-TW"/>
        </w:rPr>
        <w:t>面向虚拟仿真实</w:t>
      </w:r>
      <w:r>
        <w:rPr>
          <w:rFonts w:hint="eastAsia" w:ascii="宋体" w:hAnsi="宋体" w:eastAsia="宋体" w:cs="宋体"/>
        </w:rPr>
        <w:t>验</w:t>
      </w:r>
      <w:r>
        <w:rPr>
          <w:rFonts w:ascii="宋体" w:hAnsi="宋体" w:eastAsia="宋体" w:cs="宋体"/>
          <w:lang w:val="zh-TW" w:eastAsia="zh-TW"/>
        </w:rPr>
        <w:t>的沉浸式学习环境建设</w:t>
      </w:r>
      <w:r>
        <w:rPr>
          <w:rFonts w:hint="eastAsia" w:ascii="宋体" w:hAnsi="宋体" w:eastAsia="宋体" w:cs="宋体"/>
          <w:lang w:val="zh-TW" w:eastAsia="zh-TW"/>
        </w:rPr>
        <w:t>——基于问题解决的学习体验</w:t>
      </w:r>
      <w:r>
        <w:rPr>
          <w:rFonts w:ascii="宋体" w:hAnsi="宋体" w:eastAsia="宋体" w:cs="宋体"/>
        </w:rPr>
        <w:t>”</w:t>
      </w:r>
      <w:r>
        <w:rPr>
          <w:rFonts w:ascii="宋体" w:hAnsi="宋体" w:eastAsia="宋体" w:cs="宋体"/>
          <w:lang w:val="zh-TW" w:eastAsia="zh-TW"/>
        </w:rPr>
        <w:t>报告，黄荣怀教授</w:t>
      </w:r>
      <w:r>
        <w:rPr>
          <w:rFonts w:hint="eastAsia" w:ascii="宋体" w:hAnsi="宋体" w:eastAsia="宋体" w:cs="宋体"/>
        </w:rPr>
        <w:t>就虚拟仿真实验（实训）教学项目政策背景、走向世界的“中国微实”愿景、沉浸式学习与虚拟仿真实验教学机理、问题解决与基于问题学习的目标、构建可信和基于问题学习的“微实环境”五个方面进行了论述。</w:t>
      </w:r>
    </w:p>
    <w:p>
      <w:pPr>
        <w:pStyle w:val="11"/>
        <w:ind w:firstLine="480"/>
        <w:rPr>
          <w:rFonts w:ascii="宋体" w:hAnsi="宋体" w:eastAsia="宋体" w:cs="宋体"/>
        </w:rPr>
      </w:pPr>
    </w:p>
    <w:p>
      <w:pPr>
        <w:pStyle w:val="11"/>
        <w:ind w:firstLine="480"/>
        <w:rPr>
          <w:rFonts w:ascii="宋体" w:hAnsi="宋体" w:eastAsia="宋体" w:cs="宋体"/>
          <w:lang w:val="zh-TW" w:eastAsia="zh-TW"/>
        </w:rPr>
      </w:pPr>
      <w:r>
        <w:drawing>
          <wp:inline distT="0" distB="0" distL="114300" distR="114300">
            <wp:extent cx="4502785" cy="2584450"/>
            <wp:effectExtent l="171450" t="171450" r="164465" b="1968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4506347" cy="25865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pStyle w:val="10"/>
        <w:ind w:firstLine="480"/>
        <w:jc w:val="center"/>
        <w:rPr>
          <w:rFonts w:ascii="宋体" w:hAnsi="宋体" w:eastAsia="宋体" w:cs="宋体"/>
          <w:kern w:val="0"/>
          <w:sz w:val="24"/>
          <w:szCs w:val="24"/>
        </w:rPr>
      </w:pPr>
    </w:p>
    <w:p>
      <w:pPr>
        <w:pStyle w:val="10"/>
        <w:ind w:firstLine="480"/>
        <w:jc w:val="left"/>
        <w:rPr>
          <w:rFonts w:ascii="宋体" w:hAnsi="宋体" w:eastAsia="宋体" w:cs="宋体"/>
          <w:kern w:val="0"/>
          <w:sz w:val="24"/>
          <w:szCs w:val="24"/>
        </w:rPr>
      </w:pPr>
      <w:r>
        <w:rPr>
          <w:rFonts w:hint="eastAsia" w:ascii="宋体" w:hAnsi="宋体" w:eastAsia="宋体" w:cs="宋体"/>
          <w:kern w:val="0"/>
          <w:sz w:val="24"/>
          <w:szCs w:val="24"/>
        </w:rPr>
        <w:t>北京大学实验室与设备管理部副部长周勇义博士作了“虚拟仿真实验课程的建设与应用”报告，报告从大学视角分析虚拟仿真实验课程建设的意义、作用，提出设计开发虚拟仿真实验课程的建议，报告对高校规划、建设及评价虚拟仿真实验课程提供了思路。</w:t>
      </w:r>
    </w:p>
    <w:p>
      <w:pPr>
        <w:pStyle w:val="10"/>
        <w:ind w:firstLine="480"/>
        <w:jc w:val="left"/>
        <w:rPr>
          <w:rFonts w:ascii="宋体" w:hAnsi="宋体" w:eastAsia="宋体" w:cs="宋体"/>
          <w:kern w:val="0"/>
          <w:sz w:val="24"/>
          <w:szCs w:val="24"/>
        </w:rPr>
      </w:pPr>
    </w:p>
    <w:p>
      <w:pPr>
        <w:pStyle w:val="10"/>
        <w:jc w:val="center"/>
        <w:rPr>
          <w:rFonts w:ascii="宋体" w:hAnsi="宋体" w:eastAsia="宋体" w:cs="宋体"/>
          <w:kern w:val="0"/>
          <w:sz w:val="24"/>
          <w:szCs w:val="24"/>
        </w:rPr>
      </w:pPr>
      <w:r>
        <w:drawing>
          <wp:inline distT="0" distB="0" distL="114300" distR="114300">
            <wp:extent cx="4737100" cy="2926715"/>
            <wp:effectExtent l="0" t="0" r="254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4737100" cy="2926715"/>
                    </a:xfrm>
                    <a:prstGeom prst="rect">
                      <a:avLst/>
                    </a:prstGeom>
                    <a:noFill/>
                    <a:ln>
                      <a:noFill/>
                    </a:ln>
                  </pic:spPr>
                </pic:pic>
              </a:graphicData>
            </a:graphic>
          </wp:inline>
        </w:drawing>
      </w:r>
    </w:p>
    <w:p>
      <w:pPr>
        <w:pStyle w:val="10"/>
        <w:ind w:firstLine="480"/>
        <w:jc w:val="center"/>
        <w:rPr>
          <w:rFonts w:ascii="宋体" w:hAnsi="宋体" w:eastAsia="宋体" w:cs="宋体"/>
          <w:sz w:val="24"/>
          <w:szCs w:val="24"/>
        </w:rPr>
      </w:pPr>
    </w:p>
    <w:p>
      <w:pPr>
        <w:pStyle w:val="10"/>
        <w:ind w:firstLine="480"/>
        <w:jc w:val="left"/>
        <w:rPr>
          <w:rFonts w:ascii="宋体" w:hAnsi="宋体" w:eastAsia="宋体" w:cs="宋体"/>
          <w:kern w:val="0"/>
          <w:sz w:val="24"/>
          <w:szCs w:val="24"/>
        </w:rPr>
      </w:pPr>
      <w:r>
        <w:rPr>
          <w:rFonts w:hint="eastAsia" w:ascii="宋体" w:hAnsi="宋体" w:eastAsia="宋体" w:cs="宋体"/>
          <w:kern w:val="0"/>
          <w:sz w:val="24"/>
          <w:szCs w:val="24"/>
        </w:rPr>
        <w:t>北京润尼尔网络科技有限公司总裁陈美松作了“校企合作共建国家虚拟仿真实验教学一流课程体会”报告，</w:t>
      </w:r>
      <w:r>
        <w:rPr>
          <w:rFonts w:ascii="宋体" w:hAnsi="宋体" w:eastAsia="宋体" w:cs="宋体"/>
          <w:sz w:val="24"/>
          <w:szCs w:val="24"/>
        </w:rPr>
        <w:t>报告介绍了实验选题必要性、选题颗粒度/实验设计层次及内容要求、实验内容构成要素等，同时还分享了高校和企业分工合作、课程开发涉及的技术方案，简介视频和引导视频制作方案等</w:t>
      </w:r>
      <w:r>
        <w:rPr>
          <w:rFonts w:hint="eastAsia" w:ascii="宋体" w:hAnsi="宋体" w:eastAsia="宋体" w:cs="宋体"/>
          <w:kern w:val="0"/>
          <w:sz w:val="24"/>
          <w:szCs w:val="24"/>
        </w:rPr>
        <w:t>。</w:t>
      </w:r>
    </w:p>
    <w:p>
      <w:pPr>
        <w:pStyle w:val="10"/>
        <w:ind w:firstLine="480"/>
        <w:jc w:val="center"/>
        <w:rPr>
          <w:rFonts w:hint="eastAsia" w:ascii="宋体" w:hAnsi="宋体" w:eastAsia="Arial Unicode MS" w:cs="宋体"/>
          <w:kern w:val="0"/>
          <w:sz w:val="24"/>
          <w:szCs w:val="24"/>
          <w:lang w:eastAsia="zh-CN"/>
        </w:rPr>
      </w:pPr>
      <w:r>
        <w:drawing>
          <wp:inline distT="0" distB="0" distL="114300" distR="114300">
            <wp:extent cx="4587240" cy="2964180"/>
            <wp:effectExtent l="0" t="0" r="0" b="7620"/>
            <wp:docPr id="3" name="图片 3" descr="lQLPDhrtEXzUju_NAYXNAlqwWh7wZO2k9_4BsafQXkB0AA_602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LPDhrtEXzUju_NAYXNAlqwWh7wZO2k9_4BsafQXkB0AA_602_389"/>
                    <pic:cNvPicPr>
                      <a:picLocks noChangeAspect="1"/>
                    </pic:cNvPicPr>
                  </pic:nvPicPr>
                  <pic:blipFill>
                    <a:blip r:embed="rId10"/>
                    <a:stretch>
                      <a:fillRect/>
                    </a:stretch>
                  </pic:blipFill>
                  <pic:spPr>
                    <a:xfrm>
                      <a:off x="0" y="0"/>
                      <a:ext cx="4587240" cy="2964180"/>
                    </a:xfrm>
                    <a:prstGeom prst="rect">
                      <a:avLst/>
                    </a:prstGeom>
                  </pic:spPr>
                </pic:pic>
              </a:graphicData>
            </a:graphic>
          </wp:inline>
        </w:drawing>
      </w:r>
    </w:p>
    <w:p>
      <w:pPr>
        <w:pStyle w:val="10"/>
        <w:ind w:firstLine="480"/>
        <w:jc w:val="left"/>
        <w:rPr>
          <w:rFonts w:ascii="宋体" w:hAnsi="宋体" w:eastAsia="宋体" w:cs="宋体"/>
          <w:sz w:val="24"/>
          <w:szCs w:val="24"/>
        </w:rPr>
      </w:pPr>
    </w:p>
    <w:p>
      <w:pPr>
        <w:pStyle w:val="10"/>
        <w:ind w:firstLine="480"/>
        <w:rPr>
          <w:rFonts w:ascii="宋体" w:hAnsi="宋体" w:eastAsia="宋体" w:cs="宋体"/>
          <w:sz w:val="24"/>
          <w:szCs w:val="24"/>
        </w:rPr>
      </w:pPr>
      <w:r>
        <w:rPr>
          <w:rFonts w:hint="eastAsia" w:ascii="宋体" w:hAnsi="宋体" w:eastAsia="宋体" w:cs="宋体"/>
          <w:sz w:val="24"/>
          <w:szCs w:val="24"/>
        </w:rPr>
        <w:t>福建工程学院土木工程学院院长吴琛教授作了“从现实中来，到虚拟中去——国家级虚拟仿真实验一流课程的建设与申报”报告，报告结合2019年国家级虚拟仿真一流课程《近海腐蚀环境下高层建筑剪力墙抗震性能评估虚拟仿真实验》，从项目选题、设计思路、项目制作、申报书撰写和团队协作等多方面介绍了一流课程的建设与申报体会。</w:t>
      </w:r>
    </w:p>
    <w:p>
      <w:pPr>
        <w:pStyle w:val="10"/>
        <w:ind w:firstLine="480"/>
        <w:jc w:val="center"/>
        <w:rPr>
          <w:rFonts w:ascii="宋体" w:hAnsi="宋体" w:eastAsia="宋体" w:cs="宋体"/>
          <w:sz w:val="24"/>
          <w:szCs w:val="24"/>
        </w:rPr>
      </w:pPr>
      <w:r>
        <w:drawing>
          <wp:inline distT="0" distB="0" distL="114300" distR="114300">
            <wp:extent cx="4217670" cy="2677160"/>
            <wp:effectExtent l="171450" t="171450" r="182880" b="1803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4227216" cy="26833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pStyle w:val="10"/>
        <w:ind w:firstLine="480"/>
        <w:rPr>
          <w:rFonts w:ascii="宋体" w:hAnsi="宋体" w:eastAsia="宋体" w:cs="宋体"/>
          <w:sz w:val="24"/>
          <w:szCs w:val="24"/>
        </w:rPr>
      </w:pPr>
      <w:r>
        <w:rPr>
          <w:rFonts w:ascii="宋体" w:hAnsi="宋体" w:eastAsia="宋体" w:cs="宋体"/>
          <w:sz w:val="24"/>
          <w:szCs w:val="24"/>
        </w:rPr>
        <w:t>华东理工大学教务处副处长刘金库教授</w:t>
      </w:r>
      <w:r>
        <w:rPr>
          <w:rFonts w:hint="eastAsia" w:ascii="宋体" w:hAnsi="宋体" w:eastAsia="宋体" w:cs="宋体"/>
          <w:sz w:val="24"/>
          <w:szCs w:val="24"/>
        </w:rPr>
        <w:t>作了“虚拟仿真实验教学资源建设布局、应用与共享”报告，报告结合华东理工大学实际案例，从背景介绍、建设布局、教学应用、开放共享、未来展望五个方面探讨了如何从顶层设计出发，开展虚拟仿真课程资源建设及布局。报告阐述了如何以学校自有虚拟仿真实验教学资源共享平台为基础，推进课</w:t>
      </w:r>
      <w:bookmarkStart w:id="1" w:name="_GoBack"/>
      <w:bookmarkEnd w:id="1"/>
      <w:r>
        <w:rPr>
          <w:rFonts w:hint="eastAsia" w:ascii="宋体" w:hAnsi="宋体" w:eastAsia="宋体" w:cs="宋体"/>
          <w:sz w:val="24"/>
          <w:szCs w:val="24"/>
        </w:rPr>
        <w:t>程资源的应用与共享。</w:t>
      </w:r>
    </w:p>
    <w:p>
      <w:pPr>
        <w:pStyle w:val="10"/>
        <w:ind w:firstLine="48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960620" cy="3093720"/>
            <wp:effectExtent l="0" t="0" r="7620" b="0"/>
            <wp:docPr id="5" name="图片 5" descr="lQLPDhrtEjpfgd3NAZbNAouwJVSVCl0PTXoBsagbyIB9AA_651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LPDhrtEjpfgd3NAZbNAouwJVSVCl0PTXoBsagbyIB9AA_651_406"/>
                    <pic:cNvPicPr>
                      <a:picLocks noChangeAspect="1"/>
                    </pic:cNvPicPr>
                  </pic:nvPicPr>
                  <pic:blipFill>
                    <a:blip r:embed="rId12"/>
                    <a:stretch>
                      <a:fillRect/>
                    </a:stretch>
                  </pic:blipFill>
                  <pic:spPr>
                    <a:xfrm>
                      <a:off x="0" y="0"/>
                      <a:ext cx="4960620" cy="3093720"/>
                    </a:xfrm>
                    <a:prstGeom prst="rect">
                      <a:avLst/>
                    </a:prstGeom>
                  </pic:spPr>
                </pic:pic>
              </a:graphicData>
            </a:graphic>
          </wp:inline>
        </w:drawing>
      </w:r>
    </w:p>
    <w:p>
      <w:pPr>
        <w:pStyle w:val="10"/>
        <w:ind w:firstLine="480"/>
        <w:jc w:val="center"/>
        <w:rPr>
          <w:rFonts w:ascii="宋体" w:hAnsi="宋体" w:eastAsia="宋体" w:cs="宋体"/>
          <w:sz w:val="24"/>
          <w:szCs w:val="24"/>
        </w:rPr>
      </w:pPr>
    </w:p>
    <w:p>
      <w:pPr>
        <w:pStyle w:val="10"/>
        <w:ind w:firstLine="480"/>
        <w:rPr>
          <w:rFonts w:ascii="宋体" w:hAnsi="宋体" w:eastAsia="宋体" w:cs="宋体"/>
          <w:sz w:val="24"/>
          <w:szCs w:val="24"/>
        </w:rPr>
      </w:pPr>
      <w:r>
        <w:rPr>
          <w:rFonts w:ascii="宋体" w:hAnsi="宋体" w:eastAsia="宋体" w:cs="宋体"/>
          <w:sz w:val="24"/>
          <w:szCs w:val="24"/>
        </w:rPr>
        <w:t>上海体育学院体育教育国家级实验教学示范中心主管李雪副教授</w:t>
      </w:r>
      <w:r>
        <w:rPr>
          <w:rFonts w:hint="eastAsia" w:ascii="宋体" w:hAnsi="宋体" w:eastAsia="宋体" w:cs="宋体"/>
          <w:sz w:val="24"/>
          <w:szCs w:val="24"/>
        </w:rPr>
        <w:t>作了“体育类虚拟仿真实验教学建设及应用”报告，报告从信息技术与实验教学的整合入手，结合教育部虚拟仿真实验教学建设要求，介绍上海体育学院虚拟仿真实验教学的建设及应用情况，包括实验教学管理体系、运行保障机制、应用成效等，并以首批荣获国家级一流课程为例介绍了虚拟仿真一流课程的申报经验。</w:t>
      </w:r>
    </w:p>
    <w:p>
      <w:pPr>
        <w:pStyle w:val="10"/>
        <w:ind w:firstLine="480"/>
      </w:pPr>
    </w:p>
    <w:p>
      <w:pPr>
        <w:pStyle w:val="10"/>
        <w:ind w:firstLine="480"/>
        <w:jc w:val="center"/>
        <w:rPr>
          <w:rFonts w:ascii="宋体" w:hAnsi="宋体" w:eastAsia="宋体" w:cs="宋体"/>
          <w:sz w:val="24"/>
          <w:szCs w:val="24"/>
        </w:rPr>
      </w:pPr>
      <w:r>
        <w:drawing>
          <wp:inline distT="0" distB="0" distL="114300" distR="114300">
            <wp:extent cx="4673600" cy="2709545"/>
            <wp:effectExtent l="0" t="0" r="508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673600" cy="2709545"/>
                    </a:xfrm>
                    <a:prstGeom prst="rect">
                      <a:avLst/>
                    </a:prstGeom>
                    <a:noFill/>
                    <a:ln>
                      <a:noFill/>
                    </a:ln>
                  </pic:spPr>
                </pic:pic>
              </a:graphicData>
            </a:graphic>
          </wp:inline>
        </w:drawing>
      </w:r>
    </w:p>
    <w:p>
      <w:pPr>
        <w:pStyle w:val="10"/>
        <w:ind w:firstLine="480"/>
        <w:rPr>
          <w:rFonts w:ascii="宋体" w:hAnsi="宋体" w:eastAsia="宋体" w:cs="宋体"/>
          <w:sz w:val="24"/>
          <w:szCs w:val="24"/>
        </w:rPr>
      </w:pPr>
    </w:p>
    <w:p>
      <w:pPr>
        <w:ind w:firstLine="480" w:firstLineChars="200"/>
        <w:rPr>
          <w:rFonts w:ascii="宋体" w:hAnsi="宋体" w:eastAsia="宋体" w:cs="宋体"/>
          <w:lang w:eastAsia="zh-CN"/>
        </w:rPr>
      </w:pPr>
      <w:r>
        <w:rPr>
          <w:rFonts w:ascii="宋体" w:hAnsi="宋体" w:eastAsia="宋体" w:cs="宋体"/>
          <w:lang w:eastAsia="zh-CN"/>
        </w:rPr>
        <w:t>辽宁大学新闻与传播学院副院长安珊珊教授</w:t>
      </w:r>
      <w:r>
        <w:rPr>
          <w:rFonts w:hint="eastAsia" w:ascii="宋体" w:hAnsi="宋体" w:eastAsia="宋体" w:cs="宋体"/>
          <w:lang w:eastAsia="zh-CN"/>
        </w:rPr>
        <w:t>作了“国家级虚拟仿真课程建设中的新文科基因与应用拓展”报告，报告从文科类虚仿课程设计中植入新文科基因和虚拟仿真课程设计中实现新文科特质的应用两方面进行介绍。</w:t>
      </w:r>
    </w:p>
    <w:p>
      <w:pPr>
        <w:pStyle w:val="10"/>
        <w:ind w:firstLine="480"/>
        <w:rPr>
          <w:rFonts w:ascii="宋体" w:hAnsi="宋体" w:eastAsia="宋体" w:cs="宋体"/>
          <w:sz w:val="24"/>
          <w:szCs w:val="24"/>
        </w:rPr>
      </w:pPr>
    </w:p>
    <w:p>
      <w:pPr>
        <w:pStyle w:val="12"/>
        <w:widowControl/>
        <w:ind w:firstLine="480"/>
        <w:rPr>
          <w:rFonts w:hint="default"/>
        </w:rPr>
      </w:pPr>
      <w:r>
        <w:rPr>
          <w:rFonts w:ascii="宋体" w:hAnsi="宋体" w:eastAsia="宋体" w:cs="宋体"/>
          <w:kern w:val="2"/>
          <w:lang w:val="zh-TW" w:eastAsia="zh-TW"/>
        </w:rPr>
        <w:t>通过在线交流平台，参会教师表示，此次线上研讨会内容丰富，专业性、针对性强，对</w:t>
      </w:r>
      <w:r>
        <w:rPr>
          <w:rFonts w:ascii="宋体" w:hAnsi="宋体" w:eastAsia="宋体" w:cs="宋体"/>
          <w:kern w:val="2"/>
        </w:rPr>
        <w:t>本科</w:t>
      </w:r>
      <w:r>
        <w:rPr>
          <w:rFonts w:ascii="宋体" w:hAnsi="宋体" w:eastAsia="宋体" w:cs="宋体"/>
          <w:kern w:val="2"/>
          <w:lang w:val="zh-TW" w:eastAsia="zh-TW"/>
        </w:rPr>
        <w:t>院校教师理解虚拟仿真实验教学一流课程建设与应用</w:t>
      </w:r>
      <w:r>
        <w:rPr>
          <w:rFonts w:ascii="宋体" w:hAnsi="宋体" w:eastAsia="宋体" w:cs="宋体"/>
          <w:lang w:val="zh-TW" w:eastAsia="zh-TW"/>
        </w:rPr>
        <w:t>，做好</w:t>
      </w:r>
      <w:r>
        <w:rPr>
          <w:rFonts w:ascii="宋体" w:hAnsi="宋体" w:eastAsia="宋体" w:cs="宋体"/>
          <w:kern w:val="2"/>
          <w:lang w:val="zh-TW" w:eastAsia="zh-TW"/>
        </w:rPr>
        <w:t>课程</w:t>
      </w:r>
      <w:r>
        <w:rPr>
          <w:rFonts w:ascii="宋体" w:hAnsi="宋体" w:eastAsia="宋体" w:cs="宋体"/>
          <w:lang w:val="zh-TW" w:eastAsia="zh-TW"/>
        </w:rPr>
        <w:t>的规划、建设和教学应用等实际工作具有很好的指导意义。</w:t>
      </w:r>
      <w:bookmarkEnd w:id="0"/>
    </w:p>
    <w:sectPr>
      <w:pgSz w:w="11900" w:h="16840"/>
      <w:pgMar w:top="1440" w:right="1689" w:bottom="1440" w:left="15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00" w:usb3="00000000" w:csb0="00000000" w:csb1="00000000"/>
  </w:font>
  <w:font w:name="Helvetica Neue">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trackRevisions w:val="1"/>
  <w:documentProtection w:enforcement="0"/>
  <w:defaultTabStop w:val="420"/>
  <w:noPunctuationKerning w:val="1"/>
  <w:characterSpacingControl w:val="doNotCompress"/>
  <w:noLineBreaksAfter w:lang="zh-CN" w:val="‘“(〔[{〈《「『【⦅〘〖«〝︵︷︹︻︽︿﹁﹃﹇﹙﹛﹝｢"/>
  <w:noLineBreaksBefore w:lang="zh-CN" w:val="’”)〕]}〉"/>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588"/>
    <w:rsid w:val="002265EE"/>
    <w:rsid w:val="003856A2"/>
    <w:rsid w:val="006A5504"/>
    <w:rsid w:val="00784F17"/>
    <w:rsid w:val="00807039"/>
    <w:rsid w:val="008B0650"/>
    <w:rsid w:val="00CF7E04"/>
    <w:rsid w:val="00D47251"/>
    <w:rsid w:val="00D97588"/>
    <w:rsid w:val="00EA4A55"/>
    <w:rsid w:val="01DC0480"/>
    <w:rsid w:val="01FC0149"/>
    <w:rsid w:val="080F0010"/>
    <w:rsid w:val="0A652882"/>
    <w:rsid w:val="0D8E7657"/>
    <w:rsid w:val="0EFC21DE"/>
    <w:rsid w:val="104012AA"/>
    <w:rsid w:val="10694279"/>
    <w:rsid w:val="11162CD7"/>
    <w:rsid w:val="125B0D58"/>
    <w:rsid w:val="12CE13A1"/>
    <w:rsid w:val="147B758D"/>
    <w:rsid w:val="147D50D1"/>
    <w:rsid w:val="176E6A22"/>
    <w:rsid w:val="177444BC"/>
    <w:rsid w:val="1846375D"/>
    <w:rsid w:val="19BA0B7B"/>
    <w:rsid w:val="1AAC4070"/>
    <w:rsid w:val="21670859"/>
    <w:rsid w:val="230E7CB2"/>
    <w:rsid w:val="24AB7B29"/>
    <w:rsid w:val="25F7331E"/>
    <w:rsid w:val="27AA5AD0"/>
    <w:rsid w:val="2851759C"/>
    <w:rsid w:val="2A226935"/>
    <w:rsid w:val="2A49377D"/>
    <w:rsid w:val="2B5B2620"/>
    <w:rsid w:val="2C911C0F"/>
    <w:rsid w:val="2EE55DD5"/>
    <w:rsid w:val="30570977"/>
    <w:rsid w:val="31A56899"/>
    <w:rsid w:val="336F2FFF"/>
    <w:rsid w:val="35125C24"/>
    <w:rsid w:val="35B20971"/>
    <w:rsid w:val="37355EAD"/>
    <w:rsid w:val="38D00EAE"/>
    <w:rsid w:val="3A4F38E4"/>
    <w:rsid w:val="3D2F37B5"/>
    <w:rsid w:val="3D903612"/>
    <w:rsid w:val="4164237C"/>
    <w:rsid w:val="428840CE"/>
    <w:rsid w:val="445F45DB"/>
    <w:rsid w:val="44F740ED"/>
    <w:rsid w:val="459C3820"/>
    <w:rsid w:val="46CC7E06"/>
    <w:rsid w:val="46FE1D8D"/>
    <w:rsid w:val="49DD4F64"/>
    <w:rsid w:val="4A790739"/>
    <w:rsid w:val="4AAC5F9F"/>
    <w:rsid w:val="4FC07020"/>
    <w:rsid w:val="510936E3"/>
    <w:rsid w:val="534D102E"/>
    <w:rsid w:val="57A557E8"/>
    <w:rsid w:val="59CB65E6"/>
    <w:rsid w:val="5A3B4710"/>
    <w:rsid w:val="5A947624"/>
    <w:rsid w:val="5E9F61F5"/>
    <w:rsid w:val="62854B94"/>
    <w:rsid w:val="62E12CCE"/>
    <w:rsid w:val="63443004"/>
    <w:rsid w:val="63586FC7"/>
    <w:rsid w:val="690D7691"/>
    <w:rsid w:val="695C1D71"/>
    <w:rsid w:val="7DBC4CC2"/>
    <w:rsid w:val="7F5D0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Arial Unicode MS" w:cs="Times New Roman"/>
      <w:sz w:val="24"/>
      <w:szCs w:val="24"/>
      <w:lang w:val="en-US" w:eastAsia="en-US"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4"/>
    <w:qFormat/>
    <w:uiPriority w:val="0"/>
    <w:pPr>
      <w:tabs>
        <w:tab w:val="center" w:pos="4153"/>
        <w:tab w:val="right" w:pos="8306"/>
      </w:tabs>
      <w:snapToGrid w:val="0"/>
    </w:pPr>
    <w:rPr>
      <w:sz w:val="18"/>
      <w:szCs w:val="18"/>
    </w:rPr>
  </w:style>
  <w:style w:type="paragraph" w:styleId="3">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qFormat/>
    <w:uiPriority w:val="0"/>
    <w:rPr>
      <w:u w:val="single"/>
    </w:rPr>
  </w:style>
  <w:style w:type="table" w:customStyle="1" w:styleId="8">
    <w:name w:val="Table Normal"/>
    <w:qFormat/>
    <w:uiPriority w:val="0"/>
    <w:tblPr>
      <w:tblCellMar>
        <w:top w:w="0" w:type="dxa"/>
        <w:left w:w="0" w:type="dxa"/>
        <w:bottom w:w="0" w:type="dxa"/>
        <w:right w:w="0" w:type="dxa"/>
      </w:tblCellMar>
    </w:tblPr>
  </w:style>
  <w:style w:type="paragraph" w:customStyle="1" w:styleId="9">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0">
    <w:name w:val="正文 A"/>
    <w:qFormat/>
    <w:uiPriority w:val="0"/>
    <w:pPr>
      <w:widowControl w:val="0"/>
      <w:jc w:val="both"/>
    </w:pPr>
    <w:rPr>
      <w:rFonts w:ascii="Calibri" w:hAnsi="Calibri" w:eastAsia="Arial Unicode MS" w:cs="Arial Unicode MS"/>
      <w:color w:val="000000"/>
      <w:kern w:val="2"/>
      <w:sz w:val="21"/>
      <w:szCs w:val="21"/>
      <w:u w:color="000000"/>
      <w:lang w:val="en-US" w:eastAsia="zh-CN" w:bidi="ar-SA"/>
    </w:rPr>
  </w:style>
  <w:style w:type="paragraph" w:customStyle="1" w:styleId="11">
    <w:name w:val="Default"/>
    <w:qFormat/>
    <w:uiPriority w:val="0"/>
    <w:pPr>
      <w:widowControl w:val="0"/>
      <w:jc w:val="both"/>
    </w:pPr>
    <w:rPr>
      <w:rFonts w:ascii="黑体" w:hAnsi="黑体" w:eastAsia="黑体" w:cs="黑体"/>
      <w:color w:val="000000"/>
      <w:sz w:val="24"/>
      <w:szCs w:val="24"/>
      <w:u w:color="000000"/>
      <w:lang w:val="en-US" w:eastAsia="zh-CN" w:bidi="ar-SA"/>
    </w:rPr>
  </w:style>
  <w:style w:type="paragraph" w:customStyle="1" w:styleId="12">
    <w:name w:val="普通(网站)1"/>
    <w:qFormat/>
    <w:uiPriority w:val="0"/>
    <w:pPr>
      <w:widowControl w:val="0"/>
    </w:pPr>
    <w:rPr>
      <w:rFonts w:hint="eastAsia" w:ascii="Arial Unicode MS" w:hAnsi="Arial Unicode MS" w:eastAsia="Calibri" w:cs="Arial Unicode MS"/>
      <w:color w:val="000000"/>
      <w:sz w:val="24"/>
      <w:szCs w:val="24"/>
      <w:u w:color="000000"/>
      <w:lang w:val="en-US" w:eastAsia="zh-CN" w:bidi="ar-SA"/>
    </w:rPr>
  </w:style>
  <w:style w:type="character" w:customStyle="1" w:styleId="13">
    <w:name w:val="页眉 字符"/>
    <w:basedOn w:val="6"/>
    <w:link w:val="3"/>
    <w:qFormat/>
    <w:uiPriority w:val="0"/>
    <w:rPr>
      <w:rFonts w:eastAsia="Arial Unicode MS"/>
      <w:sz w:val="18"/>
      <w:szCs w:val="18"/>
      <w:lang w:eastAsia="en-US"/>
    </w:rPr>
  </w:style>
  <w:style w:type="character" w:customStyle="1" w:styleId="14">
    <w:name w:val="页脚 字符"/>
    <w:basedOn w:val="6"/>
    <w:link w:val="2"/>
    <w:qFormat/>
    <w:uiPriority w:val="0"/>
    <w:rPr>
      <w:rFonts w:eastAsia="Arial Unicode MS"/>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288</Words>
  <Characters>1648</Characters>
  <Lines>13</Lines>
  <Paragraphs>3</Paragraphs>
  <TotalTime>8</TotalTime>
  <ScaleCrop>false</ScaleCrop>
  <LinksUpToDate>false</LinksUpToDate>
  <CharactersWithSpaces>1933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2021-11-19T12:27:00Z</dcterms:created>
  <dc:creator>CHX</dc:creator>
  <cp:lastModifiedBy>陈小航</cp:lastModifiedBy>
  <dcterms:modified xsi:type="dcterms:W3CDTF">2021-12-03T11:53:09Z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30E35AD65B16483185F671B191BB7D6D</vt:lpwstr>
  </property>
</Properties>
</file>